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640C9" w14:textId="4AE25782" w:rsidR="00E2532D" w:rsidRDefault="00E2532D" w:rsidP="00E2532D">
      <w:pPr>
        <w:bidi/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  <w:lang w:val="ar-JO" w:bidi="ar-JO"/>
        </w:rPr>
        <w:drawing>
          <wp:inline distT="0" distB="0" distL="0" distR="0" wp14:anchorId="6843E114" wp14:editId="4663096B">
            <wp:extent cx="1004047" cy="1004047"/>
            <wp:effectExtent l="0" t="0" r="571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101" cy="1010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45CF2" w14:textId="2D236E2B" w:rsidR="00E2532D" w:rsidRPr="00E2532D" w:rsidRDefault="00DD0859" w:rsidP="00E2532D">
      <w:pPr>
        <w:bidi/>
        <w:rPr>
          <w:b/>
          <w:bCs/>
          <w:sz w:val="42"/>
          <w:szCs w:val="42"/>
          <w:rtl/>
          <w:lang w:bidi="ar-JO"/>
        </w:rPr>
      </w:pPr>
      <w:r w:rsidRPr="00E2532D">
        <w:rPr>
          <w:rFonts w:hint="cs"/>
          <w:b/>
          <w:bCs/>
          <w:sz w:val="42"/>
          <w:szCs w:val="42"/>
          <w:rtl/>
          <w:lang w:bidi="ar-JO"/>
        </w:rPr>
        <w:t xml:space="preserve">إرشادات </w:t>
      </w:r>
      <w:r w:rsidR="00A56A9E" w:rsidRPr="00E2532D">
        <w:rPr>
          <w:rFonts w:hint="cs"/>
          <w:b/>
          <w:bCs/>
          <w:sz w:val="42"/>
          <w:szCs w:val="42"/>
          <w:rtl/>
          <w:lang w:bidi="ar-JO"/>
        </w:rPr>
        <w:t>الامتحان</w:t>
      </w:r>
      <w:r w:rsidRPr="00E2532D">
        <w:rPr>
          <w:rFonts w:hint="cs"/>
          <w:b/>
          <w:bCs/>
          <w:sz w:val="42"/>
          <w:szCs w:val="42"/>
          <w:rtl/>
          <w:lang w:bidi="ar-JO"/>
        </w:rPr>
        <w:t>:</w:t>
      </w:r>
    </w:p>
    <w:p w14:paraId="3359D6BA" w14:textId="77777777" w:rsidR="00DD0859" w:rsidRPr="00A751D6" w:rsidRDefault="00DD0859" w:rsidP="00DD0859">
      <w:pPr>
        <w:jc w:val="right"/>
        <w:rPr>
          <w:b/>
          <w:bCs/>
          <w:sz w:val="24"/>
          <w:szCs w:val="24"/>
          <w:rtl/>
          <w:lang w:bidi="ar-JO"/>
        </w:rPr>
      </w:pPr>
    </w:p>
    <w:p w14:paraId="188F6AC0" w14:textId="77777777" w:rsidR="00DD0859" w:rsidRPr="005E7B02" w:rsidRDefault="00DD0859" w:rsidP="00A751D6">
      <w:pPr>
        <w:pStyle w:val="ListParagraph"/>
        <w:numPr>
          <w:ilvl w:val="0"/>
          <w:numId w:val="2"/>
        </w:numPr>
        <w:bidi/>
        <w:spacing w:line="276" w:lineRule="auto"/>
        <w:rPr>
          <w:b/>
          <w:bCs/>
          <w:sz w:val="28"/>
          <w:szCs w:val="28"/>
          <w:rtl/>
          <w:lang w:bidi="ar-JO"/>
        </w:rPr>
      </w:pPr>
      <w:r w:rsidRPr="005E7B02">
        <w:rPr>
          <w:rFonts w:hint="cs"/>
          <w:b/>
          <w:bCs/>
          <w:sz w:val="28"/>
          <w:szCs w:val="28"/>
          <w:rtl/>
          <w:lang w:bidi="ar-JO"/>
        </w:rPr>
        <w:t>مادة الامتحان عبارة عن التشريعات المبنية ضمن القائمة المرفقة.</w:t>
      </w:r>
    </w:p>
    <w:p w14:paraId="50FEFEAC" w14:textId="77777777" w:rsidR="00DD0859" w:rsidRPr="005E7B02" w:rsidRDefault="00DD0859" w:rsidP="00A751D6">
      <w:pPr>
        <w:pStyle w:val="ListParagraph"/>
        <w:numPr>
          <w:ilvl w:val="0"/>
          <w:numId w:val="2"/>
        </w:numPr>
        <w:bidi/>
        <w:spacing w:line="276" w:lineRule="auto"/>
        <w:rPr>
          <w:b/>
          <w:bCs/>
          <w:sz w:val="28"/>
          <w:szCs w:val="28"/>
          <w:rtl/>
          <w:lang w:bidi="ar-JO"/>
        </w:rPr>
      </w:pPr>
      <w:r w:rsidRPr="005E7B02">
        <w:rPr>
          <w:rFonts w:hint="cs"/>
          <w:b/>
          <w:bCs/>
          <w:sz w:val="28"/>
          <w:szCs w:val="28"/>
          <w:rtl/>
          <w:lang w:bidi="ar-JO"/>
        </w:rPr>
        <w:t>طبيعة الامتحان اختيار من متعدد</w:t>
      </w:r>
      <w:r w:rsidR="00DA5C43">
        <w:rPr>
          <w:rFonts w:hint="cs"/>
          <w:b/>
          <w:bCs/>
          <w:sz w:val="28"/>
          <w:szCs w:val="28"/>
          <w:rtl/>
          <w:lang w:bidi="ar-JO"/>
        </w:rPr>
        <w:t>.</w:t>
      </w:r>
    </w:p>
    <w:p w14:paraId="617CEBCB" w14:textId="77777777" w:rsidR="00DD0859" w:rsidRDefault="00DD0859" w:rsidP="00A751D6">
      <w:pPr>
        <w:pStyle w:val="ListParagraph"/>
        <w:numPr>
          <w:ilvl w:val="0"/>
          <w:numId w:val="2"/>
        </w:numPr>
        <w:bidi/>
        <w:spacing w:line="276" w:lineRule="auto"/>
        <w:rPr>
          <w:b/>
          <w:bCs/>
          <w:sz w:val="28"/>
          <w:szCs w:val="28"/>
          <w:lang w:bidi="ar-JO"/>
        </w:rPr>
      </w:pPr>
      <w:r w:rsidRPr="005E7B02">
        <w:rPr>
          <w:rFonts w:hint="cs"/>
          <w:b/>
          <w:bCs/>
          <w:sz w:val="28"/>
          <w:szCs w:val="28"/>
          <w:rtl/>
          <w:lang w:bidi="ar-JO"/>
        </w:rPr>
        <w:t>الحضور قبل موعد الامتحان بنصف ساعة</w:t>
      </w:r>
      <w:r w:rsidR="00DA5C43">
        <w:rPr>
          <w:rFonts w:hint="cs"/>
          <w:b/>
          <w:bCs/>
          <w:sz w:val="28"/>
          <w:szCs w:val="28"/>
          <w:rtl/>
          <w:lang w:bidi="ar-JO"/>
        </w:rPr>
        <w:t>.</w:t>
      </w:r>
    </w:p>
    <w:p w14:paraId="106EA663" w14:textId="77777777" w:rsidR="00DD0859" w:rsidRPr="005E7B02" w:rsidRDefault="00DD0859" w:rsidP="00A751D6">
      <w:pPr>
        <w:pStyle w:val="ListParagraph"/>
        <w:numPr>
          <w:ilvl w:val="0"/>
          <w:numId w:val="2"/>
        </w:numPr>
        <w:bidi/>
        <w:spacing w:line="276" w:lineRule="auto"/>
        <w:rPr>
          <w:b/>
          <w:bCs/>
          <w:sz w:val="28"/>
          <w:szCs w:val="28"/>
          <w:rtl/>
          <w:lang w:bidi="ar-JO"/>
        </w:rPr>
      </w:pPr>
      <w:r w:rsidRPr="005E7B02">
        <w:rPr>
          <w:rFonts w:hint="cs"/>
          <w:b/>
          <w:bCs/>
          <w:sz w:val="28"/>
          <w:szCs w:val="28"/>
          <w:rtl/>
          <w:lang w:bidi="ar-JO"/>
        </w:rPr>
        <w:t>يرفق ما يلي مع نموذج التسجيل:</w:t>
      </w:r>
    </w:p>
    <w:p w14:paraId="52968175" w14:textId="77777777" w:rsidR="00F055F3" w:rsidRPr="00DA5C43" w:rsidRDefault="00F055F3" w:rsidP="00F055F3">
      <w:pPr>
        <w:pStyle w:val="ListParagraph"/>
        <w:numPr>
          <w:ilvl w:val="0"/>
          <w:numId w:val="4"/>
        </w:numPr>
        <w:bidi/>
        <w:spacing w:line="276" w:lineRule="auto"/>
        <w:ind w:left="1422"/>
        <w:rPr>
          <w:b/>
          <w:bCs/>
          <w:sz w:val="28"/>
          <w:szCs w:val="28"/>
          <w:rtl/>
          <w:lang w:bidi="ar-JO"/>
        </w:rPr>
      </w:pPr>
      <w:r w:rsidRPr="005E7B02">
        <w:rPr>
          <w:rFonts w:hint="cs"/>
          <w:b/>
          <w:bCs/>
          <w:sz w:val="28"/>
          <w:szCs w:val="28"/>
          <w:rtl/>
          <w:lang w:bidi="ar-JO"/>
        </w:rPr>
        <w:t xml:space="preserve">صورة </w:t>
      </w:r>
      <w:r>
        <w:rPr>
          <w:rFonts w:hint="cs"/>
          <w:b/>
          <w:bCs/>
          <w:sz w:val="28"/>
          <w:szCs w:val="28"/>
          <w:rtl/>
          <w:lang w:bidi="ar-JO"/>
        </w:rPr>
        <w:t>عن إثبات الشخصية.</w:t>
      </w:r>
      <w:r w:rsidRPr="005E7B0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7FF1DD0E" w14:textId="662EC467" w:rsidR="00DD0859" w:rsidRDefault="00D940B1" w:rsidP="00F055F3">
      <w:pPr>
        <w:pStyle w:val="ListParagraph"/>
        <w:numPr>
          <w:ilvl w:val="0"/>
          <w:numId w:val="4"/>
        </w:numPr>
        <w:bidi/>
        <w:spacing w:line="276" w:lineRule="auto"/>
        <w:ind w:left="1422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صورة عن المؤهل العلمي</w:t>
      </w:r>
      <w:r w:rsidR="00DD0859" w:rsidRPr="005E7B02">
        <w:rPr>
          <w:rFonts w:hint="cs"/>
          <w:b/>
          <w:bCs/>
          <w:sz w:val="28"/>
          <w:szCs w:val="28"/>
          <w:rtl/>
          <w:lang w:bidi="ar-JO"/>
        </w:rPr>
        <w:t>.</w:t>
      </w:r>
    </w:p>
    <w:p w14:paraId="2B3187F9" w14:textId="77777777" w:rsidR="00F055F3" w:rsidRPr="00F055F3" w:rsidRDefault="00F055F3" w:rsidP="00F055F3">
      <w:pPr>
        <w:bidi/>
        <w:spacing w:line="276" w:lineRule="auto"/>
        <w:ind w:left="360"/>
        <w:rPr>
          <w:b/>
          <w:bCs/>
          <w:sz w:val="28"/>
          <w:szCs w:val="28"/>
          <w:lang w:bidi="ar-JO"/>
        </w:rPr>
      </w:pPr>
    </w:p>
    <w:p w14:paraId="17B52779" w14:textId="6DB0C9B7" w:rsidR="00DD0859" w:rsidRPr="006C2D07" w:rsidRDefault="00DD0859" w:rsidP="003A53A0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b/>
          <w:bCs/>
          <w:sz w:val="28"/>
          <w:szCs w:val="28"/>
          <w:lang w:bidi="ar-JO"/>
        </w:rPr>
      </w:pPr>
      <w:r w:rsidRPr="005E7B02">
        <w:rPr>
          <w:rFonts w:hint="cs"/>
          <w:b/>
          <w:bCs/>
          <w:sz w:val="28"/>
          <w:szCs w:val="28"/>
          <w:rtl/>
          <w:lang w:bidi="ar-JO"/>
        </w:rPr>
        <w:t xml:space="preserve">يتم استيفاء رسم مقداره 100 دينار للشخص المتقدم لأول مرة على أن يتم الدفع من خلال منصة أي فواتيركم عند استلام إشعار الموافقة على تقديم الامتحان، </w:t>
      </w:r>
      <w:r w:rsidRPr="00D940B1">
        <w:rPr>
          <w:rFonts w:hint="cs"/>
          <w:b/>
          <w:bCs/>
          <w:sz w:val="28"/>
          <w:szCs w:val="28"/>
          <w:rtl/>
          <w:lang w:bidi="ar-JO"/>
        </w:rPr>
        <w:t xml:space="preserve">ويحق للشخص الذي لم يحالفه الحظ التقدم </w:t>
      </w:r>
      <w:r w:rsidR="00D940B1" w:rsidRPr="00D940B1">
        <w:rPr>
          <w:rFonts w:hint="cs"/>
          <w:b/>
          <w:bCs/>
          <w:sz w:val="28"/>
          <w:szCs w:val="28"/>
          <w:rtl/>
          <w:lang w:bidi="ar-JO"/>
        </w:rPr>
        <w:t>مرة واحدة</w:t>
      </w:r>
      <w:r w:rsidRPr="00D940B1">
        <w:rPr>
          <w:rFonts w:hint="cs"/>
          <w:b/>
          <w:bCs/>
          <w:sz w:val="28"/>
          <w:szCs w:val="28"/>
          <w:rtl/>
          <w:lang w:bidi="ar-JO"/>
        </w:rPr>
        <w:t xml:space="preserve"> دون مقاب</w:t>
      </w:r>
      <w:r w:rsidR="003A53A0">
        <w:rPr>
          <w:rFonts w:hint="cs"/>
          <w:b/>
          <w:bCs/>
          <w:sz w:val="28"/>
          <w:szCs w:val="28"/>
          <w:rtl/>
          <w:lang w:bidi="ar-JO"/>
        </w:rPr>
        <w:t xml:space="preserve">ل، </w:t>
      </w:r>
      <w:r w:rsidRPr="005E7B02">
        <w:rPr>
          <w:b/>
          <w:bCs/>
          <w:sz w:val="28"/>
          <w:szCs w:val="28"/>
          <w:lang w:bidi="ar-JO"/>
        </w:rPr>
        <w:t xml:space="preserve"> </w:t>
      </w:r>
      <w:r w:rsidR="003A53A0" w:rsidRPr="006C2D07">
        <w:rPr>
          <w:rFonts w:hint="cs"/>
          <w:b/>
          <w:bCs/>
          <w:sz w:val="28"/>
          <w:szCs w:val="28"/>
          <w:rtl/>
          <w:lang w:bidi="ar-JO"/>
        </w:rPr>
        <w:t>علماً بأن آخر موعد</w:t>
      </w:r>
      <w:r w:rsidR="00BC0AE0" w:rsidRPr="006C2D0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3A53A0" w:rsidRPr="006C2D07">
        <w:rPr>
          <w:rFonts w:hint="cs"/>
          <w:b/>
          <w:bCs/>
          <w:sz w:val="28"/>
          <w:szCs w:val="28"/>
          <w:rtl/>
          <w:lang w:bidi="ar-JO"/>
        </w:rPr>
        <w:t>للتسجيل والدفع سيكون نهاية يوم الإثنين الموافق 10/6/2024.</w:t>
      </w:r>
      <w:r w:rsidRPr="006C2D0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1BB817F6" w14:textId="77777777" w:rsidR="00DD16A8" w:rsidRPr="00DD16A8" w:rsidRDefault="00DD16A8" w:rsidP="00DD16A8">
      <w:pPr>
        <w:pStyle w:val="ListParagraph"/>
        <w:numPr>
          <w:ilvl w:val="0"/>
          <w:numId w:val="2"/>
        </w:numPr>
        <w:bidi/>
        <w:spacing w:line="276" w:lineRule="auto"/>
        <w:rPr>
          <w:b/>
          <w:bCs/>
          <w:color w:val="DE0000"/>
          <w:sz w:val="28"/>
          <w:szCs w:val="28"/>
          <w:rtl/>
          <w:lang w:bidi="ar-JO"/>
        </w:rPr>
      </w:pPr>
      <w:r w:rsidRPr="00DD16A8">
        <w:rPr>
          <w:rFonts w:hint="cs"/>
          <w:b/>
          <w:bCs/>
          <w:color w:val="DE0000"/>
          <w:sz w:val="28"/>
          <w:szCs w:val="28"/>
          <w:rtl/>
          <w:lang w:bidi="ar-JO"/>
        </w:rPr>
        <w:t>إجتياز هذا الإمتحان لا يعني اعتماد الأشخاص الطبيعيين لممارسة أعمال الخدمات المالية في السوق المالي المحلي والبورصات الأجنبية.</w:t>
      </w:r>
    </w:p>
    <w:p w14:paraId="007C0B64" w14:textId="77777777" w:rsidR="00A751D6" w:rsidRDefault="00A751D6" w:rsidP="00DD0859">
      <w:pPr>
        <w:jc w:val="right"/>
        <w:rPr>
          <w:b/>
          <w:bCs/>
          <w:sz w:val="28"/>
          <w:szCs w:val="28"/>
          <w:rtl/>
          <w:lang w:bidi="ar-JO"/>
        </w:rPr>
      </w:pPr>
    </w:p>
    <w:p w14:paraId="31CDB8B2" w14:textId="77777777" w:rsidR="00553959" w:rsidRDefault="00DD0859" w:rsidP="00DD0859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قائمة مادة امتحان التشريعات المالية </w:t>
      </w:r>
    </w:p>
    <w:p w14:paraId="3C335570" w14:textId="77777777" w:rsidR="00DD0859" w:rsidRDefault="00DD0859" w:rsidP="00DD0859">
      <w:pPr>
        <w:jc w:val="right"/>
        <w:rPr>
          <w:b/>
          <w:bCs/>
          <w:sz w:val="28"/>
          <w:szCs w:val="28"/>
          <w:rtl/>
          <w:lang w:bidi="ar-JO"/>
        </w:rPr>
      </w:pPr>
    </w:p>
    <w:p w14:paraId="186187B0" w14:textId="5DCAED69" w:rsidR="00DD0859" w:rsidRDefault="00DD0859" w:rsidP="00DD0859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أولاً: </w:t>
      </w:r>
      <w:hyperlink r:id="rId6" w:history="1">
        <w:r w:rsidRPr="003B4073">
          <w:rPr>
            <w:rStyle w:val="Hyperlink"/>
            <w:rFonts w:hint="cs"/>
            <w:sz w:val="28"/>
            <w:szCs w:val="28"/>
            <w:rtl/>
            <w:lang w:bidi="ar-JO"/>
          </w:rPr>
          <w:t>التشريعات</w:t>
        </w:r>
      </w:hyperlink>
      <w:r w:rsidRPr="00A751D6">
        <w:rPr>
          <w:rFonts w:hint="cs"/>
          <w:sz w:val="28"/>
          <w:szCs w:val="28"/>
          <w:rtl/>
          <w:lang w:bidi="ar-JO"/>
        </w:rPr>
        <w:t xml:space="preserve"> المتوفرة على موقع هيئة الأوراق المالية الالكتروني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709F2C92" w14:textId="77777777" w:rsidR="00DD0859" w:rsidRDefault="00477E9E" w:rsidP="00DD0859">
      <w:pPr>
        <w:jc w:val="right"/>
        <w:rPr>
          <w:b/>
          <w:bCs/>
          <w:sz w:val="28"/>
          <w:szCs w:val="28"/>
          <w:lang w:bidi="ar-JO"/>
        </w:rPr>
      </w:pPr>
      <w:hyperlink r:id="rId7" w:history="1">
        <w:r w:rsidR="00DD0859" w:rsidRPr="00AD74AB">
          <w:rPr>
            <w:rStyle w:val="Hyperlink"/>
            <w:b/>
            <w:bCs/>
            <w:sz w:val="28"/>
            <w:szCs w:val="28"/>
            <w:lang w:bidi="ar-JO"/>
          </w:rPr>
          <w:t>www.jsc.gov.jo</w:t>
        </w:r>
      </w:hyperlink>
    </w:p>
    <w:p w14:paraId="257DE1BD" w14:textId="77777777" w:rsidR="00DD0859" w:rsidRDefault="00DD0859" w:rsidP="00DD0859">
      <w:pPr>
        <w:jc w:val="right"/>
        <w:rPr>
          <w:b/>
          <w:bCs/>
          <w:sz w:val="28"/>
          <w:szCs w:val="28"/>
          <w:lang w:bidi="ar-JO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642"/>
        <w:gridCol w:w="709"/>
      </w:tblGrid>
      <w:tr w:rsidR="00DD0859" w14:paraId="5CBE33DE" w14:textId="77777777" w:rsidTr="00086655">
        <w:trPr>
          <w:trHeight w:val="428"/>
        </w:trPr>
        <w:tc>
          <w:tcPr>
            <w:tcW w:w="8642" w:type="dxa"/>
          </w:tcPr>
          <w:p w14:paraId="6949DD82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التشريع</w:t>
            </w:r>
          </w:p>
        </w:tc>
        <w:tc>
          <w:tcPr>
            <w:tcW w:w="709" w:type="dxa"/>
          </w:tcPr>
          <w:p w14:paraId="51C3B9DD" w14:textId="77777777" w:rsidR="00DD0859" w:rsidRDefault="00DD0859" w:rsidP="00A751D6">
            <w:pPr>
              <w:tabs>
                <w:tab w:val="right" w:pos="4147"/>
              </w:tabs>
              <w:ind w:left="3813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D0859" w14:paraId="13594F7A" w14:textId="77777777" w:rsidTr="00086655">
        <w:trPr>
          <w:trHeight w:val="421"/>
        </w:trPr>
        <w:tc>
          <w:tcPr>
            <w:tcW w:w="8642" w:type="dxa"/>
          </w:tcPr>
          <w:p w14:paraId="07D8AAA9" w14:textId="59FB0A0B" w:rsidR="00DD0859" w:rsidRDefault="00664AF8" w:rsidP="00A751D6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hyperlink r:id="rId8" w:history="1">
              <w:r w:rsidR="00DD0859" w:rsidRPr="00664AF8">
                <w:rPr>
                  <w:rStyle w:val="Hyperlink"/>
                  <w:b/>
                  <w:bCs/>
                  <w:sz w:val="28"/>
                  <w:szCs w:val="28"/>
                  <w:rtl/>
                  <w:lang w:bidi="ar-JO"/>
                </w:rPr>
                <w:t>قانون الأوراق ال</w:t>
              </w:r>
              <w:r w:rsidR="00DD0859" w:rsidRPr="00664AF8">
                <w:rPr>
                  <w:rStyle w:val="Hyperlink"/>
                  <w:b/>
                  <w:bCs/>
                  <w:sz w:val="28"/>
                  <w:szCs w:val="28"/>
                  <w:rtl/>
                  <w:lang w:bidi="ar-JO"/>
                </w:rPr>
                <w:t>م</w:t>
              </w:r>
              <w:r w:rsidR="00DD0859" w:rsidRPr="00664AF8">
                <w:rPr>
                  <w:rStyle w:val="Hyperlink"/>
                  <w:b/>
                  <w:bCs/>
                  <w:sz w:val="28"/>
                  <w:szCs w:val="28"/>
                  <w:rtl/>
                  <w:lang w:bidi="ar-JO"/>
                </w:rPr>
                <w:t>الية رقم 18 لسنة 2017</w:t>
              </w:r>
            </w:hyperlink>
          </w:p>
        </w:tc>
        <w:tc>
          <w:tcPr>
            <w:tcW w:w="709" w:type="dxa"/>
          </w:tcPr>
          <w:p w14:paraId="1E17D529" w14:textId="77777777" w:rsidR="00DD0859" w:rsidRDefault="00DD0859" w:rsidP="00A751D6">
            <w:pPr>
              <w:ind w:left="-535" w:firstLine="535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</w:tr>
      <w:tr w:rsidR="00DD0859" w14:paraId="75FAFE45" w14:textId="77777777" w:rsidTr="00086655">
        <w:trPr>
          <w:trHeight w:val="427"/>
        </w:trPr>
        <w:tc>
          <w:tcPr>
            <w:tcW w:w="8642" w:type="dxa"/>
          </w:tcPr>
          <w:p w14:paraId="644ABD08" w14:textId="6BBB93BE" w:rsidR="00DD0859" w:rsidRDefault="00477E9E" w:rsidP="00A751D6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hyperlink r:id="rId9" w:history="1">
              <w:r w:rsidR="00DD0859" w:rsidRPr="003B4073">
                <w:rPr>
                  <w:rStyle w:val="Hyperlink"/>
                  <w:b/>
                  <w:bCs/>
                  <w:sz w:val="28"/>
                  <w:szCs w:val="28"/>
                  <w:rtl/>
                  <w:lang w:bidi="ar-JO"/>
                </w:rPr>
                <w:t xml:space="preserve">قانون تنظيم التعامل بالبورصات الأجنبية قانون رقم 1 </w:t>
              </w:r>
              <w:r w:rsidR="00DD0859" w:rsidRPr="003B4073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JO"/>
                </w:rPr>
                <w:t>لسنة 2017</w:t>
              </w:r>
            </w:hyperlink>
          </w:p>
        </w:tc>
        <w:tc>
          <w:tcPr>
            <w:tcW w:w="709" w:type="dxa"/>
          </w:tcPr>
          <w:p w14:paraId="2242C136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</w:tr>
      <w:tr w:rsidR="00DD0859" w14:paraId="6570FFD4" w14:textId="77777777" w:rsidTr="00086655">
        <w:trPr>
          <w:trHeight w:val="448"/>
        </w:trPr>
        <w:tc>
          <w:tcPr>
            <w:tcW w:w="8642" w:type="dxa"/>
          </w:tcPr>
          <w:p w14:paraId="5F2F8A00" w14:textId="3CDECD99" w:rsidR="00DD0859" w:rsidRDefault="00A2140A" w:rsidP="00AF7438">
            <w:pPr>
              <w:bidi/>
              <w:rPr>
                <w:rStyle w:val="Hyperlink"/>
                <w:b/>
                <w:bCs/>
                <w:sz w:val="28"/>
                <w:szCs w:val="28"/>
                <w:rtl/>
                <w:lang w:bidi="ar-JO"/>
              </w:rPr>
            </w:pPr>
            <w:hyperlink r:id="rId10" w:history="1">
              <w:r w:rsidR="00DD0859" w:rsidRPr="00A2140A">
                <w:rPr>
                  <w:rStyle w:val="Hyperlink"/>
                  <w:b/>
                  <w:bCs/>
                  <w:sz w:val="28"/>
                  <w:szCs w:val="28"/>
                  <w:rtl/>
                  <w:lang w:bidi="ar-JO"/>
                </w:rPr>
                <w:t>قانون الشركات الأردني رقم (22) لسنة 1997 وتعديلاته</w:t>
              </w:r>
              <w:r w:rsidR="00AF7438" w:rsidRPr="00A2140A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JO"/>
                </w:rPr>
                <w:t xml:space="preserve"> </w:t>
              </w:r>
            </w:hyperlink>
            <w:r w:rsidR="00AF7438">
              <w:rPr>
                <w:rStyle w:val="Hyperlink"/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14:paraId="38F98C1C" w14:textId="2FCD2F5A" w:rsidR="00AF7438" w:rsidRPr="00AF7438" w:rsidRDefault="00A2140A" w:rsidP="00AF7438">
            <w:pPr>
              <w:bidi/>
              <w:rPr>
                <w:b/>
                <w:bCs/>
                <w:sz w:val="28"/>
                <w:szCs w:val="28"/>
                <w:rtl/>
              </w:rPr>
            </w:pPr>
            <w:hyperlink r:id="rId11" w:history="1">
              <w:r w:rsidR="00AF7438" w:rsidRPr="00A2140A">
                <w:rPr>
                  <w:rStyle w:val="Hyperlink"/>
                  <w:rFonts w:hint="cs"/>
                  <w:b/>
                  <w:bCs/>
                  <w:rtl/>
                </w:rPr>
                <w:t>قانون الشركات المعدل رقم 20 لسنة 2023</w:t>
              </w:r>
            </w:hyperlink>
          </w:p>
        </w:tc>
        <w:tc>
          <w:tcPr>
            <w:tcW w:w="709" w:type="dxa"/>
          </w:tcPr>
          <w:p w14:paraId="5880EF81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DD0859" w14:paraId="1F9F0F0D" w14:textId="77777777" w:rsidTr="00086655">
        <w:trPr>
          <w:trHeight w:val="448"/>
        </w:trPr>
        <w:tc>
          <w:tcPr>
            <w:tcW w:w="8642" w:type="dxa"/>
          </w:tcPr>
          <w:p w14:paraId="5119FC6D" w14:textId="56E2B7A6" w:rsidR="00DD0859" w:rsidRDefault="008D5319" w:rsidP="00B07C93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hyperlink r:id="rId12" w:history="1">
              <w:r w:rsidR="00DD0859" w:rsidRPr="008D5319">
                <w:rPr>
                  <w:rStyle w:val="Hyperlink"/>
                  <w:b/>
                  <w:bCs/>
                  <w:sz w:val="28"/>
                  <w:szCs w:val="28"/>
                  <w:rtl/>
                  <w:lang w:bidi="ar-JO"/>
                </w:rPr>
                <w:t>نظام ترخيص واعتماد الخدمات المالية في هيئة الأوراق المالية رقم 17 لسنة 2018</w:t>
              </w:r>
            </w:hyperlink>
          </w:p>
          <w:p w14:paraId="6C2FE3BC" w14:textId="786FCC6A" w:rsidR="00AF7438" w:rsidRDefault="008D5319" w:rsidP="00B07C93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hyperlink r:id="rId13" w:history="1">
              <w:r w:rsidR="00AF7438" w:rsidRPr="008D5319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JO"/>
                </w:rPr>
                <w:t>نظام معدل لترخيص واعتماد الخدمات المالية رقم 13 لسنة 2024</w:t>
              </w:r>
            </w:hyperlink>
          </w:p>
          <w:p w14:paraId="3B134B4C" w14:textId="726CCB78" w:rsidR="00B07C93" w:rsidRDefault="008D5319" w:rsidP="00B07C93">
            <w:pPr>
              <w:bidi/>
              <w:rPr>
                <w:b/>
                <w:bCs/>
                <w:sz w:val="28"/>
                <w:szCs w:val="28"/>
                <w:lang w:bidi="ar-JO"/>
              </w:rPr>
            </w:pPr>
            <w:hyperlink r:id="rId14" w:history="1">
              <w:r w:rsidR="00B07C93" w:rsidRPr="008D5319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JO"/>
                </w:rPr>
                <w:t>نظام رقم 18 لمعايير الملاءة المالية لشركات الخدمات المالية لسنة 2024</w:t>
              </w:r>
            </w:hyperlink>
          </w:p>
        </w:tc>
        <w:tc>
          <w:tcPr>
            <w:tcW w:w="709" w:type="dxa"/>
          </w:tcPr>
          <w:p w14:paraId="6E3C6FEF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</w:tr>
      <w:tr w:rsidR="00DD0859" w14:paraId="210218DB" w14:textId="77777777" w:rsidTr="00086655">
        <w:trPr>
          <w:trHeight w:val="448"/>
        </w:trPr>
        <w:tc>
          <w:tcPr>
            <w:tcW w:w="8642" w:type="dxa"/>
          </w:tcPr>
          <w:p w14:paraId="34111681" w14:textId="11DA4C31" w:rsidR="00DD0859" w:rsidRDefault="00567995" w:rsidP="00A751D6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hyperlink r:id="rId15" w:history="1">
              <w:r w:rsidR="00DD0859" w:rsidRPr="00567995">
                <w:rPr>
                  <w:rStyle w:val="Hyperlink"/>
                  <w:b/>
                  <w:bCs/>
                  <w:sz w:val="28"/>
                  <w:szCs w:val="28"/>
                  <w:rtl/>
                  <w:lang w:bidi="ar-JO"/>
                </w:rPr>
                <w:t xml:space="preserve">نظام </w:t>
              </w:r>
              <w:r w:rsidR="00DD0859" w:rsidRPr="00567995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JO"/>
                </w:rPr>
                <w:t>صناديق الاستثمار</w:t>
              </w:r>
              <w:r w:rsidR="00DD0859" w:rsidRPr="00567995">
                <w:rPr>
                  <w:rStyle w:val="Hyperlink"/>
                  <w:b/>
                  <w:bCs/>
                  <w:sz w:val="28"/>
                  <w:szCs w:val="28"/>
                  <w:rtl/>
                  <w:lang w:bidi="ar-JO"/>
                </w:rPr>
                <w:t xml:space="preserve"> المشترك رقم 115 لسنة 2018</w:t>
              </w:r>
            </w:hyperlink>
          </w:p>
        </w:tc>
        <w:tc>
          <w:tcPr>
            <w:tcW w:w="709" w:type="dxa"/>
          </w:tcPr>
          <w:p w14:paraId="0E990FDC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</w:tr>
      <w:tr w:rsidR="00DD0859" w14:paraId="04FA5497" w14:textId="77777777" w:rsidTr="00086655">
        <w:trPr>
          <w:trHeight w:val="448"/>
        </w:trPr>
        <w:tc>
          <w:tcPr>
            <w:tcW w:w="8642" w:type="dxa"/>
          </w:tcPr>
          <w:p w14:paraId="68804A4B" w14:textId="41E0DE47" w:rsidR="00DD0859" w:rsidRDefault="00477E9E" w:rsidP="00A751D6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hyperlink r:id="rId16" w:history="1">
              <w:r w:rsidR="00DD0859" w:rsidRPr="0003141A">
                <w:rPr>
                  <w:rStyle w:val="Hyperlink"/>
                  <w:b/>
                  <w:bCs/>
                  <w:sz w:val="28"/>
                  <w:szCs w:val="28"/>
                  <w:rtl/>
                  <w:lang w:bidi="ar-JO"/>
                </w:rPr>
                <w:t>تعليمات الترخيص والاعتماد للخدمات المالية وتنظيمها لسنة</w:t>
              </w:r>
            </w:hyperlink>
            <w:r w:rsidR="00DD0859" w:rsidRPr="00A751D6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hyperlink r:id="rId17" w:history="1">
              <w:r w:rsidR="00DD0859" w:rsidRPr="003B4073">
                <w:rPr>
                  <w:rStyle w:val="Hyperlink"/>
                  <w:b/>
                  <w:bCs/>
                  <w:sz w:val="28"/>
                  <w:szCs w:val="28"/>
                  <w:rtl/>
                  <w:lang w:bidi="ar-JO"/>
                </w:rPr>
                <w:t>2005</w:t>
              </w:r>
            </w:hyperlink>
          </w:p>
        </w:tc>
        <w:tc>
          <w:tcPr>
            <w:tcW w:w="709" w:type="dxa"/>
          </w:tcPr>
          <w:p w14:paraId="1CAF1D0E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</w:tr>
      <w:tr w:rsidR="00DD0859" w14:paraId="1CB954C7" w14:textId="77777777" w:rsidTr="00086655">
        <w:trPr>
          <w:trHeight w:val="448"/>
        </w:trPr>
        <w:tc>
          <w:tcPr>
            <w:tcW w:w="8642" w:type="dxa"/>
          </w:tcPr>
          <w:p w14:paraId="128BE8AB" w14:textId="33C39B39" w:rsidR="00DD0859" w:rsidRDefault="00477E9E" w:rsidP="00A751D6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hyperlink r:id="rId18" w:history="1">
              <w:r w:rsidR="00DD0859" w:rsidRPr="003B4073">
                <w:rPr>
                  <w:rStyle w:val="Hyperlink"/>
                  <w:b/>
                  <w:bCs/>
                  <w:sz w:val="28"/>
                  <w:szCs w:val="28"/>
                  <w:rtl/>
                  <w:lang w:bidi="ar-JO"/>
                </w:rPr>
                <w:t>تعليمات تنظيم تعامل شركات الخدمات المالية بالبورصات الأجنبية المقرة بموجب قرار المجلس رقم 290/2019 بتاريخ 27/11/2019</w:t>
              </w:r>
            </w:hyperlink>
          </w:p>
        </w:tc>
        <w:tc>
          <w:tcPr>
            <w:tcW w:w="709" w:type="dxa"/>
          </w:tcPr>
          <w:p w14:paraId="1C69AA5C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</w:tr>
      <w:tr w:rsidR="00DD0859" w14:paraId="018CA14E" w14:textId="77777777" w:rsidTr="00086655">
        <w:trPr>
          <w:trHeight w:val="448"/>
        </w:trPr>
        <w:tc>
          <w:tcPr>
            <w:tcW w:w="8642" w:type="dxa"/>
          </w:tcPr>
          <w:p w14:paraId="0CF62978" w14:textId="1690327B" w:rsidR="00DD0859" w:rsidRDefault="00477E9E" w:rsidP="00A751D6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hyperlink r:id="rId19" w:history="1">
              <w:r w:rsidR="00DD0859" w:rsidRPr="003B4073">
                <w:rPr>
                  <w:rStyle w:val="Hyperlink"/>
                  <w:b/>
                  <w:bCs/>
                  <w:sz w:val="28"/>
                  <w:szCs w:val="28"/>
                  <w:rtl/>
                  <w:lang w:bidi="ar-JO"/>
                </w:rPr>
                <w:t>تعليمات التمويل على الهامش المقرة بموجب قرار المجلس رقم 277/2018 بتاريخ 30/8/2018</w:t>
              </w:r>
            </w:hyperlink>
          </w:p>
        </w:tc>
        <w:tc>
          <w:tcPr>
            <w:tcW w:w="709" w:type="dxa"/>
          </w:tcPr>
          <w:p w14:paraId="5AA18588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</w:tr>
      <w:tr w:rsidR="00DD0859" w14:paraId="562E454F" w14:textId="77777777" w:rsidTr="00086655">
        <w:trPr>
          <w:trHeight w:val="448"/>
        </w:trPr>
        <w:tc>
          <w:tcPr>
            <w:tcW w:w="8642" w:type="dxa"/>
          </w:tcPr>
          <w:p w14:paraId="0B14DA39" w14:textId="3691F8D9" w:rsidR="00DD0859" w:rsidRDefault="00477E9E" w:rsidP="00A751D6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hyperlink r:id="rId20" w:history="1">
              <w:r w:rsidR="00DD0859" w:rsidRPr="003B4073">
                <w:rPr>
                  <w:rStyle w:val="Hyperlink"/>
                  <w:b/>
                  <w:bCs/>
                  <w:sz w:val="28"/>
                  <w:szCs w:val="28"/>
                  <w:rtl/>
                  <w:lang w:bidi="ar-JO"/>
                </w:rPr>
                <w:t>تعليمات معايير الملاءة المالية لشركات الوساطة العاملة في السوق الصادرة استناداً لقرار لجنة الإدارة رقم 2/95 بتاريخ 4/1/1995</w:t>
              </w:r>
            </w:hyperlink>
          </w:p>
        </w:tc>
        <w:tc>
          <w:tcPr>
            <w:tcW w:w="709" w:type="dxa"/>
          </w:tcPr>
          <w:p w14:paraId="3A04689E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</w:tr>
      <w:tr w:rsidR="00DD0859" w14:paraId="206721DF" w14:textId="77777777" w:rsidTr="00086655">
        <w:trPr>
          <w:trHeight w:val="448"/>
        </w:trPr>
        <w:tc>
          <w:tcPr>
            <w:tcW w:w="8642" w:type="dxa"/>
          </w:tcPr>
          <w:p w14:paraId="4825CA01" w14:textId="6F5B9B5F" w:rsidR="00DD0859" w:rsidRDefault="00477E9E" w:rsidP="00A751D6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hyperlink r:id="rId21" w:history="1">
              <w:r w:rsidR="00DD0859" w:rsidRPr="003B4073">
                <w:rPr>
                  <w:rStyle w:val="Hyperlink"/>
                  <w:b/>
                  <w:bCs/>
                  <w:sz w:val="28"/>
                  <w:szCs w:val="28"/>
                  <w:rtl/>
                  <w:lang w:bidi="ar-JO"/>
                </w:rPr>
                <w:t>تعليمات مكافحة غسل الأموال وتمويل الإرهاب لسنة 2018 الصادرة بموجب قرار المجلس رقم 220/2018 بتاريخ 5/7/2018</w:t>
              </w:r>
            </w:hyperlink>
          </w:p>
        </w:tc>
        <w:tc>
          <w:tcPr>
            <w:tcW w:w="709" w:type="dxa"/>
          </w:tcPr>
          <w:p w14:paraId="6CC36E30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</w:tr>
      <w:tr w:rsidR="00DD0859" w14:paraId="49EDD5F9" w14:textId="77777777" w:rsidTr="00086655">
        <w:trPr>
          <w:trHeight w:val="448"/>
        </w:trPr>
        <w:tc>
          <w:tcPr>
            <w:tcW w:w="8642" w:type="dxa"/>
          </w:tcPr>
          <w:p w14:paraId="2F8B3A5C" w14:textId="44461FA2" w:rsidR="00DD0859" w:rsidRDefault="00477E9E" w:rsidP="00A751D6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hyperlink r:id="rId22" w:history="1">
              <w:r w:rsidR="00DD0859" w:rsidRPr="00690AEA">
                <w:rPr>
                  <w:rStyle w:val="Hyperlink"/>
                  <w:b/>
                  <w:bCs/>
                  <w:sz w:val="28"/>
                  <w:szCs w:val="28"/>
                  <w:rtl/>
                  <w:lang w:bidi="ar-JO"/>
                </w:rPr>
                <w:t>تعليمات إفصاح الشركات المصدرة والمعايير المحاسبية ومعايير التدقيق لسنة 2004 والمعدلة بتاريخ 30-10-2019</w:t>
              </w:r>
            </w:hyperlink>
          </w:p>
        </w:tc>
        <w:tc>
          <w:tcPr>
            <w:tcW w:w="709" w:type="dxa"/>
          </w:tcPr>
          <w:p w14:paraId="0B4AA6CE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11</w:t>
            </w:r>
          </w:p>
        </w:tc>
      </w:tr>
      <w:tr w:rsidR="00DD0859" w14:paraId="79DDE12D" w14:textId="77777777" w:rsidTr="00086655">
        <w:trPr>
          <w:trHeight w:val="448"/>
        </w:trPr>
        <w:tc>
          <w:tcPr>
            <w:tcW w:w="8642" w:type="dxa"/>
          </w:tcPr>
          <w:p w14:paraId="44368095" w14:textId="14327FBD" w:rsidR="00DD0859" w:rsidRDefault="00477E9E" w:rsidP="00A751D6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hyperlink r:id="rId23" w:history="1">
              <w:r w:rsidR="00DD0859" w:rsidRPr="003B4073">
                <w:rPr>
                  <w:rStyle w:val="Hyperlink"/>
                  <w:b/>
                  <w:bCs/>
                  <w:sz w:val="28"/>
                  <w:szCs w:val="28"/>
                  <w:rtl/>
                  <w:lang w:bidi="ar-JO"/>
                </w:rPr>
                <w:t>تعليمات إصدار الأوراق المالية وتسجيلها لسنة 2005 الصادرة بموجب قرار المجلس رقم 446/2005</w:t>
              </w:r>
            </w:hyperlink>
          </w:p>
        </w:tc>
        <w:tc>
          <w:tcPr>
            <w:tcW w:w="709" w:type="dxa"/>
          </w:tcPr>
          <w:p w14:paraId="79EFA6C6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12</w:t>
            </w:r>
          </w:p>
        </w:tc>
      </w:tr>
      <w:tr w:rsidR="00DD0859" w14:paraId="773F0E64" w14:textId="77777777" w:rsidTr="00086655">
        <w:trPr>
          <w:trHeight w:val="448"/>
        </w:trPr>
        <w:tc>
          <w:tcPr>
            <w:tcW w:w="8642" w:type="dxa"/>
          </w:tcPr>
          <w:p w14:paraId="5014873D" w14:textId="0B319AA3" w:rsidR="00DD0859" w:rsidRDefault="00477E9E" w:rsidP="00A751D6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hyperlink r:id="rId24" w:history="1">
              <w:r w:rsidR="00DD0859" w:rsidRPr="00392781">
                <w:rPr>
                  <w:rStyle w:val="Hyperlink"/>
                  <w:b/>
                  <w:bCs/>
                  <w:sz w:val="28"/>
                  <w:szCs w:val="28"/>
                  <w:rtl/>
                  <w:lang w:bidi="ar-JO"/>
                </w:rPr>
                <w:t xml:space="preserve">تعليمات تداول أعضاء مجالس إدارة هيئة مديري شركات الوساطة المالية وموظفيها وذوي العلاقة بهم </w:t>
              </w:r>
              <w:r w:rsidR="00DD0859" w:rsidRPr="00392781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JO"/>
                </w:rPr>
                <w:t>لسنة 2013</w:t>
              </w:r>
              <w:r w:rsidR="00DD0859" w:rsidRPr="00392781">
                <w:rPr>
                  <w:rStyle w:val="Hyperlink"/>
                  <w:b/>
                  <w:bCs/>
                  <w:sz w:val="28"/>
                  <w:szCs w:val="28"/>
                  <w:rtl/>
                  <w:lang w:bidi="ar-JO"/>
                </w:rPr>
                <w:t>والمقرة بموجب قرار المجلس رقم 429/2013 بتاريخ 3/10/2013</w:t>
              </w:r>
            </w:hyperlink>
          </w:p>
        </w:tc>
        <w:tc>
          <w:tcPr>
            <w:tcW w:w="709" w:type="dxa"/>
          </w:tcPr>
          <w:p w14:paraId="3E950DCC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</w:tr>
      <w:tr w:rsidR="00DD0859" w14:paraId="76D85F2E" w14:textId="77777777" w:rsidTr="00086655">
        <w:trPr>
          <w:trHeight w:val="448"/>
        </w:trPr>
        <w:tc>
          <w:tcPr>
            <w:tcW w:w="8642" w:type="dxa"/>
          </w:tcPr>
          <w:p w14:paraId="491816E0" w14:textId="43B611DD" w:rsidR="00DD0859" w:rsidRDefault="00477E9E" w:rsidP="00A751D6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hyperlink r:id="rId25" w:history="1">
              <w:r w:rsidR="00DD0859" w:rsidRPr="003B4073">
                <w:rPr>
                  <w:rStyle w:val="Hyperlink"/>
                  <w:b/>
                  <w:bCs/>
                  <w:sz w:val="28"/>
                  <w:szCs w:val="28"/>
                  <w:rtl/>
                  <w:lang w:bidi="ar-JO"/>
                </w:rPr>
                <w:t xml:space="preserve">تعليمات حوكمة الشركات المساهمة العامة </w:t>
              </w:r>
              <w:r w:rsidR="00DD0859" w:rsidRPr="003B4073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JO"/>
                </w:rPr>
                <w:t>المدرجة لسنة</w:t>
              </w:r>
              <w:r w:rsidR="00DD0859" w:rsidRPr="003B4073">
                <w:rPr>
                  <w:rStyle w:val="Hyperlink"/>
                  <w:b/>
                  <w:bCs/>
                  <w:sz w:val="28"/>
                  <w:szCs w:val="28"/>
                  <w:rtl/>
                  <w:lang w:bidi="ar-JO"/>
                </w:rPr>
                <w:t xml:space="preserve"> 2017</w:t>
              </w:r>
            </w:hyperlink>
          </w:p>
        </w:tc>
        <w:tc>
          <w:tcPr>
            <w:tcW w:w="709" w:type="dxa"/>
          </w:tcPr>
          <w:p w14:paraId="3C3275A7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14</w:t>
            </w:r>
          </w:p>
        </w:tc>
      </w:tr>
      <w:tr w:rsidR="00DD0859" w14:paraId="447FDCB9" w14:textId="77777777" w:rsidTr="0016505E">
        <w:trPr>
          <w:trHeight w:val="369"/>
        </w:trPr>
        <w:tc>
          <w:tcPr>
            <w:tcW w:w="8642" w:type="dxa"/>
          </w:tcPr>
          <w:p w14:paraId="65C86DE8" w14:textId="7107B8E9" w:rsidR="00DD0859" w:rsidRPr="0016505E" w:rsidRDefault="00477E9E" w:rsidP="0016505E">
            <w:pPr>
              <w:spacing w:after="30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hyperlink r:id="rId26" w:history="1">
              <w:r w:rsidR="0016505E" w:rsidRPr="005C1350">
                <w:rPr>
                  <w:rStyle w:val="Hyperlink"/>
                  <w:b/>
                  <w:bCs/>
                  <w:sz w:val="28"/>
                  <w:szCs w:val="28"/>
                  <w:rtl/>
                  <w:lang w:bidi="ar-JO"/>
                </w:rPr>
                <w:t>قانون صكوك التمويل الإسلامي رقم (30) لسنة 2012</w:t>
              </w:r>
            </w:hyperlink>
          </w:p>
        </w:tc>
        <w:tc>
          <w:tcPr>
            <w:tcW w:w="709" w:type="dxa"/>
          </w:tcPr>
          <w:p w14:paraId="552D4368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</w:tr>
      <w:tr w:rsidR="00DD0859" w14:paraId="75D5C085" w14:textId="77777777" w:rsidTr="00086655">
        <w:trPr>
          <w:trHeight w:val="448"/>
        </w:trPr>
        <w:tc>
          <w:tcPr>
            <w:tcW w:w="8642" w:type="dxa"/>
          </w:tcPr>
          <w:p w14:paraId="78438D48" w14:textId="7F7C7785" w:rsidR="00DD0859" w:rsidRDefault="00477E9E" w:rsidP="002D6F9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hyperlink r:id="rId27" w:history="1">
              <w:r w:rsidR="00DD0859" w:rsidRPr="005C1350">
                <w:rPr>
                  <w:rStyle w:val="Hyperlink"/>
                  <w:b/>
                  <w:bCs/>
                  <w:sz w:val="28"/>
                  <w:szCs w:val="28"/>
                  <w:rtl/>
                  <w:lang w:bidi="ar-JO"/>
                </w:rPr>
                <w:t xml:space="preserve">تعليمات </w:t>
              </w:r>
              <w:r w:rsidR="002D6F9A" w:rsidRPr="005C1350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JO"/>
                </w:rPr>
                <w:t xml:space="preserve">إصدار </w:t>
              </w:r>
              <w:r w:rsidR="00DD0859" w:rsidRPr="005C1350">
                <w:rPr>
                  <w:rStyle w:val="Hyperlink"/>
                  <w:b/>
                  <w:bCs/>
                  <w:sz w:val="28"/>
                  <w:szCs w:val="28"/>
                  <w:rtl/>
                  <w:lang w:bidi="ar-JO"/>
                </w:rPr>
                <w:t>صكوك التمويل الاسلامي</w:t>
              </w:r>
              <w:r w:rsidR="002D6F9A" w:rsidRPr="005C1350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JO"/>
                </w:rPr>
                <w:t xml:space="preserve"> وتسجيلها لسنة 2013</w:t>
              </w:r>
            </w:hyperlink>
          </w:p>
        </w:tc>
        <w:tc>
          <w:tcPr>
            <w:tcW w:w="709" w:type="dxa"/>
          </w:tcPr>
          <w:p w14:paraId="528FE875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16</w:t>
            </w:r>
          </w:p>
        </w:tc>
      </w:tr>
    </w:tbl>
    <w:p w14:paraId="24479D5D" w14:textId="77777777" w:rsidR="00A751D6" w:rsidRDefault="00A751D6" w:rsidP="00A751D6">
      <w:pPr>
        <w:rPr>
          <w:b/>
          <w:bCs/>
          <w:sz w:val="28"/>
          <w:szCs w:val="28"/>
          <w:rtl/>
          <w:lang w:bidi="ar-JO"/>
        </w:rPr>
      </w:pPr>
    </w:p>
    <w:p w14:paraId="6A6CB3C0" w14:textId="6F53FA8A" w:rsidR="00DD0859" w:rsidRDefault="00DD0859" w:rsidP="003D50F4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ثانياً: </w:t>
      </w:r>
      <w:hyperlink r:id="rId28" w:history="1">
        <w:r w:rsidRPr="00CE1BAC">
          <w:rPr>
            <w:rStyle w:val="Hyperlink"/>
            <w:rFonts w:hint="cs"/>
            <w:sz w:val="28"/>
            <w:szCs w:val="28"/>
            <w:rtl/>
            <w:lang w:bidi="ar-JO"/>
          </w:rPr>
          <w:t>التشريعات</w:t>
        </w:r>
      </w:hyperlink>
      <w:r w:rsidRPr="00A751D6">
        <w:rPr>
          <w:rFonts w:hint="cs"/>
          <w:sz w:val="28"/>
          <w:szCs w:val="28"/>
          <w:rtl/>
          <w:lang w:bidi="ar-JO"/>
        </w:rPr>
        <w:t xml:space="preserve"> المتوفرة على موقع </w:t>
      </w:r>
      <w:r w:rsidR="003D50F4" w:rsidRPr="00A751D6">
        <w:rPr>
          <w:rFonts w:hint="cs"/>
          <w:sz w:val="28"/>
          <w:szCs w:val="28"/>
          <w:rtl/>
          <w:lang w:bidi="ar-JO"/>
        </w:rPr>
        <w:t>شركة بورصة عمان الالكتروني</w:t>
      </w:r>
    </w:p>
    <w:p w14:paraId="6738CB14" w14:textId="77777777" w:rsidR="003D50F4" w:rsidRDefault="00477E9E" w:rsidP="003D50F4">
      <w:pPr>
        <w:jc w:val="right"/>
        <w:rPr>
          <w:b/>
          <w:bCs/>
          <w:sz w:val="28"/>
          <w:szCs w:val="28"/>
          <w:lang w:bidi="ar-JO"/>
        </w:rPr>
      </w:pPr>
      <w:hyperlink r:id="rId29" w:history="1">
        <w:r w:rsidR="003D50F4" w:rsidRPr="00AD74AB">
          <w:rPr>
            <w:rStyle w:val="Hyperlink"/>
            <w:b/>
            <w:bCs/>
            <w:sz w:val="28"/>
            <w:szCs w:val="28"/>
            <w:lang w:bidi="ar-JO"/>
          </w:rPr>
          <w:t>www.ase.com.jo</w:t>
        </w:r>
      </w:hyperlink>
    </w:p>
    <w:p w14:paraId="08D3A18D" w14:textId="77777777" w:rsidR="003D50F4" w:rsidRDefault="003D50F4" w:rsidP="003D50F4">
      <w:pPr>
        <w:jc w:val="right"/>
        <w:rPr>
          <w:b/>
          <w:bCs/>
          <w:sz w:val="28"/>
          <w:szCs w:val="28"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1"/>
        <w:gridCol w:w="735"/>
      </w:tblGrid>
      <w:tr w:rsidR="003D50F4" w14:paraId="12F4C5AE" w14:textId="77777777" w:rsidTr="00A751D6">
        <w:tc>
          <w:tcPr>
            <w:tcW w:w="8615" w:type="dxa"/>
          </w:tcPr>
          <w:p w14:paraId="39E94530" w14:textId="77777777" w:rsidR="003D50F4" w:rsidRDefault="003D50F4" w:rsidP="003D50F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التشريع</w:t>
            </w:r>
          </w:p>
        </w:tc>
        <w:tc>
          <w:tcPr>
            <w:tcW w:w="735" w:type="dxa"/>
          </w:tcPr>
          <w:p w14:paraId="4510074C" w14:textId="77777777" w:rsidR="003D50F4" w:rsidRDefault="003D50F4" w:rsidP="003D50F4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الرقم </w:t>
            </w:r>
          </w:p>
        </w:tc>
      </w:tr>
      <w:tr w:rsidR="003D50F4" w14:paraId="12506659" w14:textId="77777777" w:rsidTr="00A751D6">
        <w:tc>
          <w:tcPr>
            <w:tcW w:w="8615" w:type="dxa"/>
          </w:tcPr>
          <w:p w14:paraId="53505A3C" w14:textId="5867AB2D" w:rsidR="003D50F4" w:rsidRDefault="00477E9E" w:rsidP="003D50F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hyperlink r:id="rId30" w:history="1">
              <w:r w:rsidR="003D50F4" w:rsidRPr="00F874C0">
                <w:rPr>
                  <w:rStyle w:val="Hyperlink"/>
                  <w:rFonts w:cs="Arial"/>
                  <w:b/>
                  <w:bCs/>
                  <w:sz w:val="28"/>
                  <w:szCs w:val="28"/>
                  <w:rtl/>
                  <w:lang w:bidi="ar-JO"/>
                </w:rPr>
                <w:t>نظام العضوية في شركة بورصة عمان لسنة</w:t>
              </w:r>
            </w:hyperlink>
            <w:r w:rsidR="003D50F4" w:rsidRPr="003D50F4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hyperlink r:id="rId31" w:history="1">
              <w:r w:rsidR="003D50F4" w:rsidRPr="00F874C0">
                <w:rPr>
                  <w:rStyle w:val="Hyperlink"/>
                  <w:rFonts w:cs="Arial"/>
                  <w:b/>
                  <w:bCs/>
                  <w:sz w:val="28"/>
                  <w:szCs w:val="28"/>
                  <w:rtl/>
                  <w:lang w:bidi="ar-JO"/>
                </w:rPr>
                <w:t>2018</w:t>
              </w:r>
            </w:hyperlink>
          </w:p>
        </w:tc>
        <w:tc>
          <w:tcPr>
            <w:tcW w:w="735" w:type="dxa"/>
          </w:tcPr>
          <w:p w14:paraId="4CA28836" w14:textId="77777777" w:rsidR="003D50F4" w:rsidRDefault="003D50F4" w:rsidP="003D50F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17</w:t>
            </w:r>
          </w:p>
        </w:tc>
      </w:tr>
      <w:tr w:rsidR="003D50F4" w14:paraId="665745C2" w14:textId="77777777" w:rsidTr="00A751D6">
        <w:tc>
          <w:tcPr>
            <w:tcW w:w="8615" w:type="dxa"/>
          </w:tcPr>
          <w:p w14:paraId="317318EF" w14:textId="4954D33A" w:rsidR="003D50F4" w:rsidRDefault="00477E9E" w:rsidP="003D50F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hyperlink r:id="rId32" w:history="1">
              <w:r w:rsidR="003D50F4" w:rsidRPr="00F874C0">
                <w:rPr>
                  <w:rStyle w:val="Hyperlink"/>
                  <w:rFonts w:cs="Arial"/>
                  <w:b/>
                  <w:bCs/>
                  <w:sz w:val="28"/>
                  <w:szCs w:val="28"/>
                  <w:rtl/>
                  <w:lang w:bidi="ar-JO"/>
                </w:rPr>
                <w:t>تعليمات إدراج الأوراق المالية في شركة بورصة عمان لسنة</w:t>
              </w:r>
            </w:hyperlink>
            <w:r w:rsidR="003D50F4" w:rsidRPr="003D50F4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hyperlink r:id="rId33" w:history="1">
              <w:r w:rsidR="003D50F4" w:rsidRPr="00F874C0">
                <w:rPr>
                  <w:rStyle w:val="Hyperlink"/>
                  <w:rFonts w:cs="Arial"/>
                  <w:b/>
                  <w:bCs/>
                  <w:sz w:val="28"/>
                  <w:szCs w:val="28"/>
                  <w:rtl/>
                  <w:lang w:bidi="ar-JO"/>
                </w:rPr>
                <w:t>2018</w:t>
              </w:r>
            </w:hyperlink>
          </w:p>
        </w:tc>
        <w:tc>
          <w:tcPr>
            <w:tcW w:w="735" w:type="dxa"/>
          </w:tcPr>
          <w:p w14:paraId="27904FEF" w14:textId="77777777" w:rsidR="003D50F4" w:rsidRDefault="003D50F4" w:rsidP="003D50F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</w:tr>
      <w:tr w:rsidR="003D50F4" w14:paraId="2614EF3D" w14:textId="77777777" w:rsidTr="00A751D6">
        <w:tc>
          <w:tcPr>
            <w:tcW w:w="8615" w:type="dxa"/>
          </w:tcPr>
          <w:p w14:paraId="3D1C1DAF" w14:textId="5F4F4BAB" w:rsidR="003D50F4" w:rsidRDefault="00477E9E" w:rsidP="003D50F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hyperlink r:id="rId34" w:history="1">
              <w:r w:rsidR="003D50F4" w:rsidRPr="00F874C0">
                <w:rPr>
                  <w:rStyle w:val="Hyperlink"/>
                  <w:rFonts w:cs="Arial"/>
                  <w:b/>
                  <w:bCs/>
                  <w:sz w:val="28"/>
                  <w:szCs w:val="28"/>
                  <w:rtl/>
                  <w:lang w:bidi="ar-JO"/>
                </w:rPr>
                <w:t>تعليمات تداول الأوراق المالية في شركة بورصة عمان لسنة</w:t>
              </w:r>
            </w:hyperlink>
            <w:r w:rsidR="003D50F4" w:rsidRPr="003D50F4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hyperlink r:id="rId35" w:history="1">
              <w:r w:rsidR="003D50F4" w:rsidRPr="00F874C0">
                <w:rPr>
                  <w:rStyle w:val="Hyperlink"/>
                  <w:rFonts w:cs="Arial"/>
                  <w:b/>
                  <w:bCs/>
                  <w:sz w:val="28"/>
                  <w:szCs w:val="28"/>
                  <w:rtl/>
                  <w:lang w:bidi="ar-JO"/>
                </w:rPr>
                <w:t>2018</w:t>
              </w:r>
            </w:hyperlink>
          </w:p>
        </w:tc>
        <w:tc>
          <w:tcPr>
            <w:tcW w:w="735" w:type="dxa"/>
          </w:tcPr>
          <w:p w14:paraId="7AABA63A" w14:textId="77777777" w:rsidR="003D50F4" w:rsidRDefault="003D50F4" w:rsidP="003D50F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19</w:t>
            </w:r>
          </w:p>
        </w:tc>
      </w:tr>
      <w:tr w:rsidR="003D50F4" w14:paraId="57324677" w14:textId="77777777" w:rsidTr="00F874C0">
        <w:trPr>
          <w:trHeight w:val="98"/>
        </w:trPr>
        <w:tc>
          <w:tcPr>
            <w:tcW w:w="8615" w:type="dxa"/>
          </w:tcPr>
          <w:p w14:paraId="0C2ACDDB" w14:textId="7477A4CF" w:rsidR="003D50F4" w:rsidRDefault="00477E9E" w:rsidP="001D2741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hyperlink r:id="rId36" w:history="1">
              <w:r w:rsidR="003D50F4" w:rsidRPr="00F874C0">
                <w:rPr>
                  <w:rStyle w:val="Hyperlink"/>
                  <w:rFonts w:cs="Arial"/>
                  <w:b/>
                  <w:bCs/>
                  <w:sz w:val="28"/>
                  <w:szCs w:val="28"/>
                  <w:rtl/>
                  <w:lang w:bidi="ar-JO"/>
                </w:rPr>
                <w:t>تعليمات الإفصاح الخاصة بشركة بورصة عمان لسنة 2018</w:t>
              </w:r>
            </w:hyperlink>
          </w:p>
        </w:tc>
        <w:tc>
          <w:tcPr>
            <w:tcW w:w="735" w:type="dxa"/>
          </w:tcPr>
          <w:p w14:paraId="6128041A" w14:textId="77777777" w:rsidR="003D50F4" w:rsidRDefault="003D50F4" w:rsidP="001D2741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</w:tr>
    </w:tbl>
    <w:p w14:paraId="3EC62816" w14:textId="77777777" w:rsidR="00A751D6" w:rsidRDefault="00A751D6" w:rsidP="003D50F4">
      <w:pPr>
        <w:jc w:val="right"/>
        <w:rPr>
          <w:b/>
          <w:bCs/>
          <w:sz w:val="28"/>
          <w:szCs w:val="28"/>
          <w:rtl/>
          <w:lang w:bidi="ar-JO"/>
        </w:rPr>
      </w:pPr>
    </w:p>
    <w:p w14:paraId="52FC9A33" w14:textId="427E21A5" w:rsidR="003D50F4" w:rsidRDefault="003D50F4" w:rsidP="003D50F4">
      <w:pPr>
        <w:jc w:val="right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ثالثاً: </w:t>
      </w:r>
      <w:hyperlink r:id="rId37" w:history="1">
        <w:r w:rsidRPr="00CE1BAC">
          <w:rPr>
            <w:rStyle w:val="Hyperlink"/>
            <w:rFonts w:hint="cs"/>
            <w:sz w:val="28"/>
            <w:szCs w:val="28"/>
            <w:rtl/>
            <w:lang w:bidi="ar-JO"/>
          </w:rPr>
          <w:t>التشريعا</w:t>
        </w:r>
        <w:r w:rsidRPr="00CE1BAC">
          <w:rPr>
            <w:rStyle w:val="Hyperlink"/>
            <w:rFonts w:hint="eastAsia"/>
            <w:sz w:val="28"/>
            <w:szCs w:val="28"/>
            <w:rtl/>
            <w:lang w:bidi="ar-JO"/>
          </w:rPr>
          <w:t>ت</w:t>
        </w:r>
      </w:hyperlink>
      <w:r w:rsidRPr="00A751D6">
        <w:rPr>
          <w:rFonts w:hint="cs"/>
          <w:sz w:val="28"/>
          <w:szCs w:val="28"/>
          <w:rtl/>
          <w:lang w:bidi="ar-JO"/>
        </w:rPr>
        <w:t xml:space="preserve"> المتوفرة على موقع مركز إيداع الأوراق المالية الالكتروني</w:t>
      </w:r>
    </w:p>
    <w:p w14:paraId="3FB477EF" w14:textId="77777777" w:rsidR="003D50F4" w:rsidRDefault="00477E9E" w:rsidP="003D50F4">
      <w:pPr>
        <w:jc w:val="right"/>
        <w:rPr>
          <w:b/>
          <w:bCs/>
          <w:sz w:val="28"/>
          <w:szCs w:val="28"/>
          <w:lang w:bidi="ar-JO"/>
        </w:rPr>
      </w:pPr>
      <w:hyperlink r:id="rId38" w:history="1">
        <w:r w:rsidR="003D50F4" w:rsidRPr="00AD74AB">
          <w:rPr>
            <w:rStyle w:val="Hyperlink"/>
            <w:b/>
            <w:bCs/>
            <w:sz w:val="28"/>
            <w:szCs w:val="28"/>
            <w:lang w:bidi="ar-JO"/>
          </w:rPr>
          <w:t>www.sdc.com.jo</w:t>
        </w:r>
      </w:hyperlink>
    </w:p>
    <w:p w14:paraId="0969EAC3" w14:textId="77777777" w:rsidR="003D50F4" w:rsidRDefault="003D50F4" w:rsidP="003D50F4">
      <w:pPr>
        <w:jc w:val="right"/>
        <w:rPr>
          <w:b/>
          <w:bCs/>
          <w:sz w:val="28"/>
          <w:szCs w:val="28"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11"/>
        <w:gridCol w:w="705"/>
      </w:tblGrid>
      <w:tr w:rsidR="003D50F4" w14:paraId="640ED5B5" w14:textId="77777777" w:rsidTr="00A751D6">
        <w:tc>
          <w:tcPr>
            <w:tcW w:w="8642" w:type="dxa"/>
          </w:tcPr>
          <w:p w14:paraId="3F5FF3A3" w14:textId="77777777" w:rsidR="003D50F4" w:rsidRDefault="003D50F4" w:rsidP="003D50F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التشريع</w:t>
            </w:r>
          </w:p>
        </w:tc>
        <w:tc>
          <w:tcPr>
            <w:tcW w:w="708" w:type="dxa"/>
          </w:tcPr>
          <w:p w14:paraId="5F1281EA" w14:textId="77777777" w:rsidR="003D50F4" w:rsidRDefault="003D50F4" w:rsidP="003D50F4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3D50F4" w14:paraId="1C99A05A" w14:textId="77777777" w:rsidTr="00A751D6">
        <w:tc>
          <w:tcPr>
            <w:tcW w:w="8642" w:type="dxa"/>
          </w:tcPr>
          <w:p w14:paraId="28296995" w14:textId="3F5AD651" w:rsidR="003D50F4" w:rsidRDefault="00477E9E" w:rsidP="003D50F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hyperlink r:id="rId39" w:history="1">
              <w:r w:rsidR="003D50F4" w:rsidRPr="00F874C0">
                <w:rPr>
                  <w:rStyle w:val="Hyperlink"/>
                  <w:rFonts w:cs="Arial"/>
                  <w:b/>
                  <w:bCs/>
                  <w:sz w:val="28"/>
                  <w:szCs w:val="28"/>
                  <w:rtl/>
                  <w:lang w:bidi="ar-JO"/>
                </w:rPr>
                <w:t>تعليمات تسجيل وإيداع الأوراق المالية وتسويتها</w:t>
              </w:r>
              <w:r w:rsidR="0016505E" w:rsidRPr="00F874C0">
                <w:rPr>
                  <w:rStyle w:val="Hyperlink"/>
                  <w:rFonts w:cs="Arial" w:hint="cs"/>
                  <w:b/>
                  <w:bCs/>
                  <w:sz w:val="28"/>
                  <w:szCs w:val="28"/>
                  <w:rtl/>
                  <w:lang w:bidi="ar-JO"/>
                </w:rPr>
                <w:t xml:space="preserve"> لسنة 2017</w:t>
              </w:r>
            </w:hyperlink>
          </w:p>
        </w:tc>
        <w:tc>
          <w:tcPr>
            <w:tcW w:w="708" w:type="dxa"/>
          </w:tcPr>
          <w:p w14:paraId="57C43106" w14:textId="77777777" w:rsidR="003D50F4" w:rsidRDefault="003D50F4" w:rsidP="003D50F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21</w:t>
            </w:r>
          </w:p>
        </w:tc>
      </w:tr>
    </w:tbl>
    <w:p w14:paraId="4CA9691F" w14:textId="77777777" w:rsidR="003D50F4" w:rsidRDefault="003D50F4" w:rsidP="003D50F4">
      <w:pPr>
        <w:jc w:val="right"/>
        <w:rPr>
          <w:b/>
          <w:bCs/>
          <w:sz w:val="28"/>
          <w:szCs w:val="28"/>
          <w:lang w:bidi="ar-JO"/>
        </w:rPr>
      </w:pPr>
    </w:p>
    <w:p w14:paraId="1A32AE98" w14:textId="77777777" w:rsidR="003D50F4" w:rsidRPr="00DD0859" w:rsidRDefault="003D50F4" w:rsidP="003D50F4">
      <w:pPr>
        <w:jc w:val="right"/>
        <w:rPr>
          <w:b/>
          <w:bCs/>
          <w:sz w:val="28"/>
          <w:szCs w:val="28"/>
          <w:lang w:bidi="ar-JO"/>
        </w:rPr>
      </w:pPr>
    </w:p>
    <w:sectPr w:rsidR="003D50F4" w:rsidRPr="00DD0859" w:rsidSect="00DD16A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3DC"/>
    <w:multiLevelType w:val="hybridMultilevel"/>
    <w:tmpl w:val="63C62124"/>
    <w:lvl w:ilvl="0" w:tplc="9C82C26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180A"/>
    <w:multiLevelType w:val="hybridMultilevel"/>
    <w:tmpl w:val="8482DFC6"/>
    <w:lvl w:ilvl="0" w:tplc="4B8EDA4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2D11C1"/>
    <w:multiLevelType w:val="hybridMultilevel"/>
    <w:tmpl w:val="92322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2407A"/>
    <w:multiLevelType w:val="hybridMultilevel"/>
    <w:tmpl w:val="76B457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859"/>
    <w:rsid w:val="0003141A"/>
    <w:rsid w:val="00086655"/>
    <w:rsid w:val="000B28CA"/>
    <w:rsid w:val="000C15B7"/>
    <w:rsid w:val="0016505E"/>
    <w:rsid w:val="00166E39"/>
    <w:rsid w:val="002D6F9A"/>
    <w:rsid w:val="00392781"/>
    <w:rsid w:val="003A53A0"/>
    <w:rsid w:val="003B4073"/>
    <w:rsid w:val="003D50F4"/>
    <w:rsid w:val="00477E9E"/>
    <w:rsid w:val="004D5F0A"/>
    <w:rsid w:val="00553959"/>
    <w:rsid w:val="0056674F"/>
    <w:rsid w:val="00567995"/>
    <w:rsid w:val="005C1350"/>
    <w:rsid w:val="005C2517"/>
    <w:rsid w:val="005E7B02"/>
    <w:rsid w:val="00664AF8"/>
    <w:rsid w:val="00690AEA"/>
    <w:rsid w:val="006C2D07"/>
    <w:rsid w:val="008D5319"/>
    <w:rsid w:val="008E2669"/>
    <w:rsid w:val="009B27B7"/>
    <w:rsid w:val="009B466F"/>
    <w:rsid w:val="009F2E15"/>
    <w:rsid w:val="00A2140A"/>
    <w:rsid w:val="00A56A9E"/>
    <w:rsid w:val="00A60465"/>
    <w:rsid w:val="00A751D6"/>
    <w:rsid w:val="00AC0431"/>
    <w:rsid w:val="00AF7438"/>
    <w:rsid w:val="00B07C93"/>
    <w:rsid w:val="00BC0AE0"/>
    <w:rsid w:val="00CE1BAC"/>
    <w:rsid w:val="00D10D3C"/>
    <w:rsid w:val="00D940B1"/>
    <w:rsid w:val="00DA5C43"/>
    <w:rsid w:val="00DD0859"/>
    <w:rsid w:val="00DD16A8"/>
    <w:rsid w:val="00E2532D"/>
    <w:rsid w:val="00EA4AB8"/>
    <w:rsid w:val="00ED3566"/>
    <w:rsid w:val="00F055F3"/>
    <w:rsid w:val="00F40F6D"/>
    <w:rsid w:val="00F713C3"/>
    <w:rsid w:val="00F874C0"/>
    <w:rsid w:val="00FA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67FFC"/>
  <w15:chartTrackingRefBased/>
  <w15:docId w15:val="{9ED57E72-CEA7-4537-AB5F-AF889D83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85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DD08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08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085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D0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6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6A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B40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7C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jsc.gov.jo/Uploads/Files/&#1606;&#1592;&#1575;&#1605;%20&#1585;&#1602;&#1605;%2013%20&#1605;&#1593;&#1583;&#1604;%20&#1604;&#1606;&#1592;&#1575;&#1605;%20&#1578;&#1585;&#1582;&#1610;&#1589;%20&#1608;&#1575;&#1593;&#1578;&#1605;&#1575;&#1583;%20&#1575;&#1604;&#1582;&#1583;&#1605;&#1575;&#1578;%20&#1575;&#1604;&#1605;&#1575;&#1604;&#1610;&#1577;%20&#1601;&#1610;%20&#1607;&#1610;&#1574;&#1577;%20&#1575;&#1604;&#1571;&#1608;&#1585;&#1575;&#1602;%20&#1575;&#1604;&#1605;&#1575;&#1604;&#1610;&#1577;%20&#1604;&#1587;&#1606;&#1577;%202024.pdf" TargetMode="External"/><Relationship Id="rId18" Type="http://schemas.openxmlformats.org/officeDocument/2006/relationships/hyperlink" Target="https://www.jsc.gov.jo/Uploads/Files/&#1578;&#1593;&#1604;&#1610;&#1605;&#1575;&#1578;%20&#1578;&#1606;&#1592;&#1610;&#1605;%20&#1578;&#1593;&#1575;&#1605;&#1604;%20&#1588;&#1585;&#1603;&#1575;&#1578;%20&#1575;&#1604;&#1582;&#1583;&#1605;&#1575;&#1578;%20&#1575;&#1604;&#1605;&#1575;&#1604;&#1610;&#1577;%20&#1576;&#1575;&#1604;&#1576;&#1608;&#1585;&#1589;&#1575;&#1578;%20&#1575;&#1604;&#1571;&#1580;&#1606;&#1576;&#1610;&#1577;%20&#1575;&#1604;&#1605;&#1602;&#1585;&#1577;%20&#1576;&#1578;&#1575;&#1585;&#1610;&#1582;%20-27-11-2019.pdf" TargetMode="External"/><Relationship Id="rId26" Type="http://schemas.openxmlformats.org/officeDocument/2006/relationships/hyperlink" Target="https://www.jsc.gov.jo/Uploads/Files/634861246451441250.pdf" TargetMode="External"/><Relationship Id="rId39" Type="http://schemas.openxmlformats.org/officeDocument/2006/relationships/hyperlink" Target="https://sdc.com.jo/ar/legislation/Instructions/legislation/4564" TargetMode="External"/><Relationship Id="rId21" Type="http://schemas.openxmlformats.org/officeDocument/2006/relationships/hyperlink" Target="https://www.jsc.gov.jo/Uploads/Files/&#1606;&#1587;&#1582;&#1577;%20&#1606;&#1607;&#1575;&#1574;&#1610;&#1577;%20&#1605;&#1593;&#1578;&#1605;&#1583;&#1577;%20&#1605;&#1608;&#1602;&#1593;&#1577;%20&#1608;&#1605;&#1582;&#1578;&#1608;&#1605;&#1577;%20&#1605;&#1606;%20&#1578;&#1593;&#1604;&#1610;&#1605;&#1575;&#1578;%20&#1605;&#1603;&#1575;&#1601;&#1581;&#1577;%20&#1594;&#1587;&#1604;%20&#1575;&#1604;&#1571;&#1605;&#1608;&#1575;&#1604;%20&#1608;&#1578;&#1605;&#1608;&#1610;&#1604;%20&#1575;&#1604;&#1573;&#1585;&#1607;&#1575;&#1576;%202018.pdf" TargetMode="External"/><Relationship Id="rId34" Type="http://schemas.openxmlformats.org/officeDocument/2006/relationships/hyperlink" Target="https://www.ase.com.jo/ar/Legislation/Directives/tlymat-tdawl-alawraq-almalyt-fy-shrkt-bwrst-man-lsnt-2018" TargetMode="External"/><Relationship Id="rId7" Type="http://schemas.openxmlformats.org/officeDocument/2006/relationships/hyperlink" Target="http://www.jsc.gov.j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sc.gov.jo/Uploads/Files/635888951194875273.pdf" TargetMode="External"/><Relationship Id="rId20" Type="http://schemas.openxmlformats.org/officeDocument/2006/relationships/hyperlink" Target="https://www.jsc.gov.jo/Uploads/Files/633570726030956768.pdf" TargetMode="External"/><Relationship Id="rId29" Type="http://schemas.openxmlformats.org/officeDocument/2006/relationships/hyperlink" Target="http://www.ase.com.jo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jsc.gov.jo/page/ar/legislations" TargetMode="External"/><Relationship Id="rId11" Type="http://schemas.openxmlformats.org/officeDocument/2006/relationships/hyperlink" Target="https://www.jsc.gov.jo/Uploads/Files/&#1602;&#1575;&#1606;&#1608;&#1606;_&#1575;&#1604;&#1588;&#1585;&#1603;&#1575;&#1578;_&#1585;&#1602;&#1605;_(20)_&#1604;&#1587;&#1606;&#1577;_2023_&#1602;&#1575;&#1606;&#1608;&#1606;_&#1605;&#1593;&#1583;&#1604;_&#1604;&#1602;&#1575;&#1606;&#1608;&#1606;_&#1575;&#1604;&#1588;&#1585;&#1603;&#1575;&#1578;.pdf" TargetMode="External"/><Relationship Id="rId24" Type="http://schemas.openxmlformats.org/officeDocument/2006/relationships/hyperlink" Target="https://www.jsc.gov.jo/Uploads/Files/635341686393473395.pdf" TargetMode="External"/><Relationship Id="rId32" Type="http://schemas.openxmlformats.org/officeDocument/2006/relationships/hyperlink" Target="https://www.ase.com.jo/ar/Legislation/Directives/tlymat-adraj-alawraq-almalyt-lsnt-2018" TargetMode="External"/><Relationship Id="rId37" Type="http://schemas.openxmlformats.org/officeDocument/2006/relationships/hyperlink" Target="https://sdc.com.jo/ar/legislation/Instructions/legislation/4564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hyperlink" Target="https://www.jsc.gov.jo/Uploads/Files/&#1606;&#1592;&#1575;&#1605;%20&#1585;&#1602;&#1605;%20115%20%20&#1604;&#1587;&#1606;&#1577;%202018%20&#1606;&#1592;&#1575;&#1605;%20&#1589;&#1606;&#1575;&#1583;&#1610;&#1602;%20&#1575;&#1604;&#1575;&#1587;&#1578;&#1579;&#1605;&#1575;&#1585;%20&#1575;&#1604;&#1605;&#1588;&#1578;&#1585;&#1603;.pdf" TargetMode="External"/><Relationship Id="rId23" Type="http://schemas.openxmlformats.org/officeDocument/2006/relationships/hyperlink" Target="https://www.jsc.gov.jo/Uploads/Files/&#1578;&#1593;&#1604;&#1610;&#1605;&#1575;&#1578;%20&#1575;&#1589;&#1583;&#1575;&#1585;%20&#1575;&#1604;&#1575;&#1608;&#1585;&#1575;&#1602;%20&#1575;&#1604;&#1605;&#1575;&#1604;&#1610;&#1577;%20&#1608;&#1578;&#1587;&#1580;&#1610;&#1604;&#1607;&#1575;%20&#1604;&#1587;&#1606;&#1577;%202005%20&#1608;&#1605;&#1604;&#1575;&#1581;&#1602;&#1607;&#1575;%20&#1603;&#1604;&#1575;&#1605;&#1604;&#1577;%20-%20&#1606;&#1587;&#1582;&#1577;%20&#1575;&#1604;&#1580;&#1585;&#1610;&#1583;&#1577;%20&#1575;&#1604;&#1585;&#1587;&#1605;&#1610;&#1577;.pdf" TargetMode="External"/><Relationship Id="rId28" Type="http://schemas.openxmlformats.org/officeDocument/2006/relationships/hyperlink" Target="https://www.ase.com.jo/ar/altshryat" TargetMode="External"/><Relationship Id="rId36" Type="http://schemas.openxmlformats.org/officeDocument/2006/relationships/hyperlink" Target="https://www.ase.com.jo/ar/Legislation/Directives/tlymat-alafsah-2018-0" TargetMode="External"/><Relationship Id="rId10" Type="http://schemas.openxmlformats.org/officeDocument/2006/relationships/hyperlink" Target="https://www.jsc.gov.jo/Uploads/Files/&#1602;&#1575;&#1606;&#1608;&#1606;%20&#1575;&#1604;&#1588;&#1585;&#1603;&#1575;&#1578;%20&#1587;&#1603;&#1575;&#1606;&#1585;.pdf" TargetMode="External"/><Relationship Id="rId19" Type="http://schemas.openxmlformats.org/officeDocument/2006/relationships/hyperlink" Target="http://www.jsc.gov.jo/Uploads/Files/&#1578;&#1593;&#1604;&#1610;&#1605;&#1575;&#1578;%20&#1575;&#1604;&#1578;&#1605;&#1608;&#1610;&#1604;%20&#1593;&#1604;&#1609;%20&#1575;&#1604;&#1607;&#1575;&#1605;&#1588;%20&#1575;&#1604;&#1605;&#1602;&#1585;&#1577;%20&#1601;&#1610;%2030-8-2018.pdf" TargetMode="External"/><Relationship Id="rId31" Type="http://schemas.openxmlformats.org/officeDocument/2006/relationships/hyperlink" Target="https://www.ase.com.jo/ar/Legislation/Laws/nzam-aldwyt-fy-shrkt-bwrst-man-lsnt-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sc.gov.jo/Uploads/Files/636378780376627907.pdf" TargetMode="External"/><Relationship Id="rId14" Type="http://schemas.openxmlformats.org/officeDocument/2006/relationships/hyperlink" Target="https://www.jsc.gov.jo/Uploads/Files/&#1606;&#1592;&#1575;&#1605;%20&#1585;&#1602;&#1605;%2018%20&#1604;&#1605;&#1593;&#1575;&#1610;&#1610;&#1585;%20&#1575;&#1604;&#1605;&#1604;&#1575;&#1569;&#1577;%20&#1575;&#1604;&#1605;&#1575;&#1604;&#1610;&#1577;%20&#1604;&#1588;&#1585;&#1603;&#1575;&#1578;%20&#1575;&#1604;&#1582;&#1583;&#1605;&#1575;&#1578;%20&#1575;&#1604;&#1605;&#1575;&#1604;&#1610;&#1577;%20&#1604;&#1587;&#1606;&#1577;%202024.pdf" TargetMode="External"/><Relationship Id="rId22" Type="http://schemas.openxmlformats.org/officeDocument/2006/relationships/hyperlink" Target="https://www.jsc.gov.jo/Uploads/Files/&#1578;&#1593;&#1604;&#1610;&#1605;&#1575;&#1578;%20&#1573;&#1601;&#1589;&#1575;&#1581;%20&#1575;&#1604;&#1588;&#1585;&#1603;&#1575;&#1578;%20&#1575;&#1604;&#1605;&#1589;&#1583;&#1585;&#1577;%20&#1608;&#1575;&#1604;&#1605;&#1593;&#1575;&#1610;&#1610;&#1585;%20&#1575;&#1604;&#1605;&#1581;&#1575;&#1587;&#1576;&#1610;&#1577;%20&#1608;&#1605;&#1593;&#1575;&#1610;&#1610;&#1585;%20&#1575;&#1604;&#1578;&#1583;&#1602;&#1610;&#1602;%20&#1604;&#1587;&#1606;&#1577;%202004%20&#1608;&#1578;&#1593;&#1583;&#1610;&#1604;&#1575;&#1578;&#1607;&#1575;%20&#1581;&#1578;&#1609;%2030-10-2019.pdf" TargetMode="External"/><Relationship Id="rId27" Type="http://schemas.openxmlformats.org/officeDocument/2006/relationships/hyperlink" Target="https://www.jsc.gov.jo/Uploads/Files/635349437627530724.pdf" TargetMode="External"/><Relationship Id="rId30" Type="http://schemas.openxmlformats.org/officeDocument/2006/relationships/hyperlink" Target="https://www.ase.com.jo/ar/Legislation/Laws/nzam-aldwyt-fy-shrkt-bwrst-man-lsnt-2018" TargetMode="External"/><Relationship Id="rId35" Type="http://schemas.openxmlformats.org/officeDocument/2006/relationships/hyperlink" Target="https://www.ase.com.jo/ar/Legislation/Directives/tlymat-tdawl-alawraq-almalyt-fy-shrkt-bwrst-man-lsnt-2018" TargetMode="External"/><Relationship Id="rId8" Type="http://schemas.openxmlformats.org/officeDocument/2006/relationships/hyperlink" Target="https://www.jsc.gov.jo/Uploads/Files/&#1602;&#1575;&#1606;&#1608;&#1606;%20&#1575;&#1604;&#1571;&#1608;&#1585;&#1575;&#1602;%20&#1575;&#1604;&#1605;&#1575;&#1604;&#1610;&#1577;%202017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jsc.gov.jo/Uploads/Files/&#1606;&#1592;&#1575;&#1605;%20&#1585;&#1602;&#1605;%2017%20&#1604;&#1587;&#1606;&#1577;%202018%20&#1604;&#1578;&#1585;&#1582;&#1610;&#1589;%20&#1608;&#1575;&#1593;&#1578;&#1605;&#1575;&#1583;%20&#1575;&#1604;&#1582;&#1583;&#1605;&#1575;&#1578;%20&#1575;&#1604;&#1605;&#1575;&#1604;&#1610;&#1577;.pdf" TargetMode="External"/><Relationship Id="rId17" Type="http://schemas.openxmlformats.org/officeDocument/2006/relationships/hyperlink" Target="https://www.jsc.gov.jo/Uploads/Files/635888951194875273.pdf" TargetMode="External"/><Relationship Id="rId25" Type="http://schemas.openxmlformats.org/officeDocument/2006/relationships/hyperlink" Target="https://www.jsc.gov.jo/Uploads/Files/636346002105495090.pdf" TargetMode="External"/><Relationship Id="rId33" Type="http://schemas.openxmlformats.org/officeDocument/2006/relationships/hyperlink" Target="https://www.ase.com.jo/ar/Legislation/Directives/tlymat-adraj-alawraq-almalyt-lsnt-2018" TargetMode="External"/><Relationship Id="rId38" Type="http://schemas.openxmlformats.org/officeDocument/2006/relationships/hyperlink" Target="http://www.sdc.com.j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</dc:creator>
  <cp:keywords/>
  <dc:description/>
  <cp:lastModifiedBy>Hussain Hammadneh</cp:lastModifiedBy>
  <cp:revision>2</cp:revision>
  <cp:lastPrinted>2024-05-26T09:08:00Z</cp:lastPrinted>
  <dcterms:created xsi:type="dcterms:W3CDTF">2024-05-28T09:29:00Z</dcterms:created>
  <dcterms:modified xsi:type="dcterms:W3CDTF">2024-05-28T09:29:00Z</dcterms:modified>
</cp:coreProperties>
</file>